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Kinnitatud 2</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.10.2020</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Kutsekomisjoni otsusega </w:t>
      </w:r>
      <w:r w:rsidDel="00000000" w:rsidR="00000000" w:rsidRPr="00000000">
        <w:rPr>
          <w:rFonts w:ascii="Times New Roman" w:cs="Times New Roman" w:eastAsia="Times New Roman" w:hAnsi="Times New Roman"/>
          <w:sz w:val="24"/>
          <w:szCs w:val="24"/>
          <w:rtl w:val="0"/>
        </w:rPr>
        <w:t xml:space="preserve">Nr. 30</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HINDAMISSTANDARD</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KVALITEEDISPETSIALIST EKR tase: 5</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Sisukord: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Üldine informatsioon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 Hindamise korraldus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 Hindamisülesanded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4. Hindamiskriteeriumid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 Hindamine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6. Vormid hindamiskomisjonile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7. Vormid taotlejale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8. Hindamisstandardi lisad</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1. Üldine informatsioon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71"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1.1.Kvaliteedispetsialist tase 5 kutsealase kompetentsuse hindamine.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71" w:line="240" w:lineRule="auto"/>
        <w:jc w:val="both"/>
        <w:rPr>
          <w:rFonts w:ascii="Times New Roman" w:cs="Times New Roman" w:eastAsia="Times New Roman" w:hAnsi="Times New Roman"/>
          <w:color w:val="e69138"/>
          <w:sz w:val="23"/>
          <w:szCs w:val="23"/>
        </w:rPr>
      </w:pPr>
      <w:bookmarkStart w:colFirst="0" w:colLast="0" w:name="_heading=h.30j0zll" w:id="0"/>
      <w:bookmarkEnd w:id="0"/>
      <w:r w:rsidDel="00000000" w:rsidR="00000000" w:rsidRPr="00000000">
        <w:rPr>
          <w:rFonts w:ascii="Times New Roman" w:cs="Times New Roman" w:eastAsia="Times New Roman" w:hAnsi="Times New Roman"/>
          <w:color w:val="000000"/>
          <w:sz w:val="23"/>
          <w:szCs w:val="23"/>
          <w:rtl w:val="0"/>
        </w:rPr>
        <w:t xml:space="preserve">1.2.</w:t>
      </w:r>
      <w:r w:rsidDel="00000000" w:rsidR="00000000" w:rsidRPr="00000000">
        <w:rPr>
          <w:rFonts w:ascii="Times New Roman" w:cs="Times New Roman" w:eastAsia="Times New Roman" w:hAnsi="Times New Roman"/>
          <w:sz w:val="23"/>
          <w:szCs w:val="23"/>
          <w:rtl w:val="0"/>
        </w:rPr>
        <w:t xml:space="preserve">Kutsekomisjoni tegevuse eesmärgiks on korraldada erapooletut kutse andmist. Hindamiskomisjon moodustatakse kutsekomisjoni otsusega kutse taotleja kompetentsuse hindamiseks.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sz w:val="23"/>
          <w:szCs w:val="23"/>
          <w:rtl w:val="0"/>
        </w:rPr>
        <w:t xml:space="preserve">1.3. Töömapp sisaldab tööalase tegevuse ja õpingute jooksul kogutud asjakohaseid materjale nii teoreetilise, kui ka praktilise kogemuse omandamise kohta ning</w:t>
      </w:r>
      <w:r w:rsidDel="00000000" w:rsidR="00000000" w:rsidRPr="00000000">
        <w:rPr>
          <w:rFonts w:ascii="Times New Roman" w:cs="Times New Roman" w:eastAsia="Times New Roman" w:hAnsi="Times New Roman"/>
          <w:color w:val="000000"/>
          <w:sz w:val="23"/>
          <w:szCs w:val="23"/>
          <w:rtl w:val="0"/>
        </w:rPr>
        <w:t xml:space="preserve"> eneseanalüüsi.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71" w:line="240" w:lineRule="auto"/>
        <w:jc w:val="both"/>
        <w:rPr>
          <w:rFonts w:ascii="Times New Roman" w:cs="Times New Roman" w:eastAsia="Times New Roman" w:hAnsi="Times New Roman"/>
          <w:sz w:val="23"/>
          <w:szCs w:val="23"/>
          <w:highlight w:val="red"/>
        </w:rPr>
      </w:pPr>
      <w:r w:rsidDel="00000000" w:rsidR="00000000" w:rsidRPr="00000000">
        <w:rPr>
          <w:rFonts w:ascii="Times New Roman" w:cs="Times New Roman" w:eastAsia="Times New Roman" w:hAnsi="Times New Roman"/>
          <w:sz w:val="23"/>
          <w:szCs w:val="23"/>
          <w:rtl w:val="0"/>
        </w:rPr>
        <w:t xml:space="preserve">(standardis viidatud ka kui õpi- ja töömapp, siin edaspidi ’Töömapp’).</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71"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1.4.Dokumentide vastuvõtmine, puudustest teavitamine ja puuduste likvideerimine, hindamise ja kutsekomisjoni vaheline töökorraldus ja taotleja teavitamine toimub vastavalt kutse andmisega seotud dokumentide menetlemise ja arhiveerimise korrale (edaspidi dokumendihalduse kord).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71"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w:t>
      </w:r>
      <w:r w:rsidDel="00000000" w:rsidR="00000000" w:rsidRPr="00000000">
        <w:rPr>
          <w:rFonts w:ascii="Times New Roman" w:cs="Times New Roman" w:eastAsia="Times New Roman" w:hAnsi="Times New Roman"/>
          <w:sz w:val="23"/>
          <w:szCs w:val="23"/>
          <w:rtl w:val="0"/>
        </w:rPr>
        <w:t xml:space="preserve">5</w:t>
      </w:r>
      <w:r w:rsidDel="00000000" w:rsidR="00000000" w:rsidRPr="00000000">
        <w:rPr>
          <w:rFonts w:ascii="Times New Roman" w:cs="Times New Roman" w:eastAsia="Times New Roman" w:hAnsi="Times New Roman"/>
          <w:color w:val="000000"/>
          <w:sz w:val="23"/>
          <w:szCs w:val="23"/>
          <w:rtl w:val="0"/>
        </w:rPr>
        <w:t xml:space="preserve">. Käesoleva dokumendi lisad on loetletud punktis </w:t>
      </w:r>
      <w:r w:rsidDel="00000000" w:rsidR="00000000" w:rsidRPr="00000000">
        <w:rPr>
          <w:rFonts w:ascii="Times New Roman" w:cs="Times New Roman" w:eastAsia="Times New Roman" w:hAnsi="Times New Roman"/>
          <w:sz w:val="23"/>
          <w:szCs w:val="23"/>
          <w:rtl w:val="0"/>
        </w:rPr>
        <w:t xml:space="preserve">8</w:t>
      </w:r>
      <w:r w:rsidDel="00000000" w:rsidR="00000000" w:rsidRPr="00000000">
        <w:rPr>
          <w:rFonts w:ascii="Times New Roman" w:cs="Times New Roman" w:eastAsia="Times New Roman" w:hAnsi="Times New Roman"/>
          <w:color w:val="000000"/>
          <w:sz w:val="23"/>
          <w:szCs w:val="23"/>
          <w:rtl w:val="0"/>
        </w:rPr>
        <w:t xml:space="preserve"> ja leitavad Kutse andja</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kodulehel: https://www.eaq.ee/taiendope/kutse-andmine/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bookmarkStart w:colFirst="0" w:colLast="0" w:name="_heading=h.1fob9te" w:id="1"/>
      <w:bookmarkEnd w:id="1"/>
      <w:r w:rsidDel="00000000" w:rsidR="00000000" w:rsidRPr="00000000">
        <w:rPr>
          <w:rFonts w:ascii="Times New Roman" w:cs="Times New Roman" w:eastAsia="Times New Roman" w:hAnsi="Times New Roman"/>
          <w:color w:val="000000"/>
          <w:sz w:val="23"/>
          <w:szCs w:val="23"/>
          <w:rtl w:val="0"/>
        </w:rPr>
        <w:t xml:space="preserve">1.</w:t>
      </w:r>
      <w:r w:rsidDel="00000000" w:rsidR="00000000" w:rsidRPr="00000000">
        <w:rPr>
          <w:rFonts w:ascii="Times New Roman" w:cs="Times New Roman" w:eastAsia="Times New Roman" w:hAnsi="Times New Roman"/>
          <w:sz w:val="23"/>
          <w:szCs w:val="23"/>
          <w:rtl w:val="0"/>
        </w:rPr>
        <w:t xml:space="preserve">6</w:t>
      </w:r>
      <w:r w:rsidDel="00000000" w:rsidR="00000000" w:rsidRPr="00000000">
        <w:rPr>
          <w:rFonts w:ascii="Times New Roman" w:cs="Times New Roman" w:eastAsia="Times New Roman" w:hAnsi="Times New Roman"/>
          <w:color w:val="000000"/>
          <w:sz w:val="23"/>
          <w:szCs w:val="23"/>
          <w:rtl w:val="0"/>
        </w:rPr>
        <w:t xml:space="preserve">. Hindamine viiakse läbi kolmes etapis. Etapid toimuvad erinevatel aegadel.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w:t>
      </w:r>
      <w:r w:rsidDel="00000000" w:rsidR="00000000" w:rsidRPr="00000000">
        <w:rPr>
          <w:rFonts w:ascii="Times New Roman" w:cs="Times New Roman" w:eastAsia="Times New Roman" w:hAnsi="Times New Roman"/>
          <w:sz w:val="23"/>
          <w:szCs w:val="23"/>
          <w:rtl w:val="0"/>
        </w:rPr>
        <w:t xml:space="preserve">6</w:t>
      </w:r>
      <w:r w:rsidDel="00000000" w:rsidR="00000000" w:rsidRPr="00000000">
        <w:rPr>
          <w:rFonts w:ascii="Times New Roman" w:cs="Times New Roman" w:eastAsia="Times New Roman" w:hAnsi="Times New Roman"/>
          <w:color w:val="000000"/>
          <w:sz w:val="23"/>
          <w:szCs w:val="23"/>
          <w:rtl w:val="0"/>
        </w:rPr>
        <w:t xml:space="preserve">.1. Esimeses etapis </w:t>
      </w:r>
      <w:r w:rsidDel="00000000" w:rsidR="00000000" w:rsidRPr="00000000">
        <w:rPr>
          <w:rFonts w:ascii="Times New Roman" w:cs="Times New Roman" w:eastAsia="Times New Roman" w:hAnsi="Times New Roman"/>
          <w:sz w:val="23"/>
          <w:szCs w:val="23"/>
          <w:rtl w:val="0"/>
        </w:rPr>
        <w:t xml:space="preserve">kontrollib</w:t>
      </w:r>
      <w:r w:rsidDel="00000000" w:rsidR="00000000" w:rsidRPr="00000000">
        <w:rPr>
          <w:rFonts w:ascii="Times New Roman" w:cs="Times New Roman" w:eastAsia="Times New Roman" w:hAnsi="Times New Roman"/>
          <w:color w:val="000000"/>
          <w:sz w:val="23"/>
          <w:szCs w:val="23"/>
          <w:rtl w:val="0"/>
        </w:rPr>
        <w:t xml:space="preserve"> kutse andja taotleja poolt esitatud dokumentide vastavust soovitud kutse saamiseks kehtestatud nõuetele. </w:t>
      </w:r>
      <w:r w:rsidDel="00000000" w:rsidR="00000000" w:rsidRPr="00000000">
        <w:rPr>
          <w:rFonts w:ascii="Times New Roman" w:cs="Times New Roman" w:eastAsia="Times New Roman" w:hAnsi="Times New Roman"/>
          <w:color w:val="3c4043"/>
          <w:sz w:val="23"/>
          <w:szCs w:val="23"/>
          <w:rtl w:val="0"/>
        </w:rPr>
        <w:t xml:space="preserve">Kutse andja edastab taotleja esitatud dokumendid (dokumentide asukoha aadressi serveris) dokumentide sobivuse ja taotleja kutseeksamile lubamise otsuse tegemiseks kutsekomisjonile .</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color w:val="000000"/>
          <w:sz w:val="23"/>
          <w:szCs w:val="23"/>
          <w:rtl w:val="0"/>
        </w:rPr>
        <w:t xml:space="preserve">1.</w:t>
      </w:r>
      <w:r w:rsidDel="00000000" w:rsidR="00000000" w:rsidRPr="00000000">
        <w:rPr>
          <w:rFonts w:ascii="Times New Roman" w:cs="Times New Roman" w:eastAsia="Times New Roman" w:hAnsi="Times New Roman"/>
          <w:sz w:val="23"/>
          <w:szCs w:val="23"/>
          <w:rtl w:val="0"/>
        </w:rPr>
        <w:t xml:space="preserve">6</w:t>
      </w:r>
      <w:r w:rsidDel="00000000" w:rsidR="00000000" w:rsidRPr="00000000">
        <w:rPr>
          <w:rFonts w:ascii="Times New Roman" w:cs="Times New Roman" w:eastAsia="Times New Roman" w:hAnsi="Times New Roman"/>
          <w:color w:val="000000"/>
          <w:sz w:val="23"/>
          <w:szCs w:val="23"/>
          <w:rtl w:val="0"/>
        </w:rPr>
        <w:t xml:space="preserve">.2. Teises etapis hindab taotleja</w:t>
      </w:r>
      <w:r w:rsidDel="00000000" w:rsidR="00000000" w:rsidRPr="00000000">
        <w:rPr>
          <w:rFonts w:ascii="Times New Roman" w:cs="Times New Roman" w:eastAsia="Times New Roman" w:hAnsi="Times New Roman"/>
          <w:sz w:val="23"/>
          <w:szCs w:val="23"/>
          <w:rtl w:val="0"/>
        </w:rPr>
        <w:t xml:space="preserve"> kompetentse </w:t>
      </w:r>
      <w:r w:rsidDel="00000000" w:rsidR="00000000" w:rsidRPr="00000000">
        <w:rPr>
          <w:rFonts w:ascii="Times New Roman" w:cs="Times New Roman" w:eastAsia="Times New Roman" w:hAnsi="Times New Roman"/>
          <w:color w:val="000000"/>
          <w:sz w:val="23"/>
          <w:szCs w:val="23"/>
          <w:rtl w:val="0"/>
        </w:rPr>
        <w:t xml:space="preserve">hindamiskomisjon. Hindamisvormideks on struktureeritud kirjalik töö, töömapp ja vestlus. </w:t>
      </w:r>
      <w:r w:rsidDel="00000000" w:rsidR="00000000" w:rsidRPr="00000000">
        <w:rPr>
          <w:rFonts w:ascii="Times New Roman" w:cs="Times New Roman" w:eastAsia="Times New Roman" w:hAnsi="Times New Roman"/>
          <w:sz w:val="23"/>
          <w:szCs w:val="23"/>
          <w:highlight w:val="white"/>
          <w:rtl w:val="0"/>
        </w:rPr>
        <w:t xml:space="preserve">Kutse taotlemisel lihtsustatud korras toimub hindamine töömapi ja vestluse alusel.</w:t>
      </w:r>
      <w:r w:rsidDel="00000000" w:rsidR="00000000" w:rsidRPr="00000000">
        <w:rPr>
          <w:rFonts w:ascii="Times New Roman" w:cs="Times New Roman" w:eastAsia="Times New Roman" w:hAnsi="Times New Roman"/>
          <w:sz w:val="23"/>
          <w:szCs w:val="23"/>
          <w:rtl w:val="0"/>
        </w:rPr>
        <w:t xml:space="preserve"> (Lihtsustatu</w:t>
      </w:r>
      <w:r w:rsidDel="00000000" w:rsidR="00000000" w:rsidRPr="00000000">
        <w:rPr>
          <w:rFonts w:ascii="Times New Roman" w:cs="Times New Roman" w:eastAsia="Times New Roman" w:hAnsi="Times New Roman"/>
          <w:color w:val="000000"/>
          <w:sz w:val="23"/>
          <w:szCs w:val="23"/>
          <w:rtl w:val="0"/>
        </w:rPr>
        <w:t xml:space="preserve">d korra tingimusi vaata Kutse andmise korrast p</w:t>
      </w:r>
      <w:r w:rsidDel="00000000" w:rsidR="00000000" w:rsidRPr="00000000">
        <w:rPr>
          <w:rFonts w:ascii="Times New Roman" w:cs="Times New Roman" w:eastAsia="Times New Roman" w:hAnsi="Times New Roman"/>
          <w:sz w:val="23"/>
          <w:szCs w:val="23"/>
          <w:rtl w:val="0"/>
        </w:rPr>
        <w:t xml:space="preserve"> 2.5)</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c4043"/>
          <w:sz w:val="23"/>
          <w:szCs w:val="23"/>
        </w:rPr>
      </w:pPr>
      <w:r w:rsidDel="00000000" w:rsidR="00000000" w:rsidRPr="00000000">
        <w:rPr>
          <w:rFonts w:ascii="Times New Roman" w:cs="Times New Roman" w:eastAsia="Times New Roman" w:hAnsi="Times New Roman"/>
          <w:color w:val="000000"/>
          <w:sz w:val="23"/>
          <w:szCs w:val="23"/>
          <w:rtl w:val="0"/>
        </w:rPr>
        <w:t xml:space="preserve">1.</w:t>
      </w:r>
      <w:r w:rsidDel="00000000" w:rsidR="00000000" w:rsidRPr="00000000">
        <w:rPr>
          <w:rFonts w:ascii="Times New Roman" w:cs="Times New Roman" w:eastAsia="Times New Roman" w:hAnsi="Times New Roman"/>
          <w:sz w:val="23"/>
          <w:szCs w:val="23"/>
          <w:rtl w:val="0"/>
        </w:rPr>
        <w:t xml:space="preserve">6</w:t>
      </w:r>
      <w:r w:rsidDel="00000000" w:rsidR="00000000" w:rsidRPr="00000000">
        <w:rPr>
          <w:rFonts w:ascii="Times New Roman" w:cs="Times New Roman" w:eastAsia="Times New Roman" w:hAnsi="Times New Roman"/>
          <w:color w:val="000000"/>
          <w:sz w:val="23"/>
          <w:szCs w:val="23"/>
          <w:rtl w:val="0"/>
        </w:rPr>
        <w:t xml:space="preserve">.3. </w:t>
      </w:r>
      <w:r w:rsidDel="00000000" w:rsidR="00000000" w:rsidRPr="00000000">
        <w:rPr>
          <w:rFonts w:ascii="Times New Roman" w:cs="Times New Roman" w:eastAsia="Times New Roman" w:hAnsi="Times New Roman"/>
          <w:color w:val="3c4043"/>
          <w:sz w:val="23"/>
          <w:szCs w:val="23"/>
          <w:rtl w:val="0"/>
        </w:rPr>
        <w:t xml:space="preserve">Kolmandas etapis tutvub kutsekomisjon hindamiskomisjoni koostatud hindamisprotokolliga ja teeb taotlejale kutse andmise / mitteandmise otsuse.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2. Hindamise korraldus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highlight w:val="yellow"/>
        </w:rPr>
      </w:pPr>
      <w:r w:rsidDel="00000000" w:rsidR="00000000" w:rsidRPr="00000000">
        <w:rPr>
          <w:rFonts w:ascii="Times New Roman" w:cs="Times New Roman" w:eastAsia="Times New Roman" w:hAnsi="Times New Roman"/>
          <w:color w:val="000000"/>
          <w:sz w:val="23"/>
          <w:szCs w:val="23"/>
          <w:rtl w:val="0"/>
        </w:rPr>
        <w:t xml:space="preserve">2.1. Hindamise korraldus on kirjeldatud dokumendihalduse korra</w:t>
      </w:r>
      <w:r w:rsidDel="00000000" w:rsidR="00000000" w:rsidRPr="00000000">
        <w:rPr>
          <w:rFonts w:ascii="Times New Roman" w:cs="Times New Roman" w:eastAsia="Times New Roman" w:hAnsi="Times New Roman"/>
          <w:sz w:val="23"/>
          <w:szCs w:val="23"/>
          <w:rtl w:val="0"/>
        </w:rPr>
        <w:t xml:space="preserve"> peatükis </w:t>
      </w:r>
      <w:r w:rsidDel="00000000" w:rsidR="00000000" w:rsidRPr="00000000">
        <w:rPr>
          <w:rFonts w:ascii="Times New Roman" w:cs="Times New Roman" w:eastAsia="Times New Roman" w:hAnsi="Times New Roman"/>
          <w:color w:val="000000"/>
          <w:sz w:val="23"/>
          <w:szCs w:val="23"/>
          <w:rtl w:val="0"/>
        </w:rPr>
        <w:t xml:space="preserve">2</w:t>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sz w:val="23"/>
          <w:szCs w:val="23"/>
          <w:rtl w:val="0"/>
        </w:rPr>
        <w:br w:type="textWrapping"/>
      </w:r>
      <w:r w:rsidDel="00000000" w:rsidR="00000000" w:rsidRPr="00000000">
        <w:rPr>
          <w:rFonts w:ascii="Times New Roman" w:cs="Times New Roman" w:eastAsia="Times New Roman" w:hAnsi="Times New Roman"/>
          <w:b w:val="1"/>
          <w:color w:val="000000"/>
          <w:sz w:val="23"/>
          <w:szCs w:val="23"/>
          <w:rtl w:val="0"/>
        </w:rPr>
        <w:t xml:space="preserve">3. Hindamisülesanded </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3.1 Taotlejat hinnatakse struktureeritud kirjaliku töö (v.a. lihtsustatud korras eksami puhul), töömapi ja vestluse alusel.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3.2 Struktureeritud kirjalik töö koosneb </w:t>
      </w:r>
      <w:r w:rsidDel="00000000" w:rsidR="00000000" w:rsidRPr="00000000">
        <w:rPr>
          <w:rFonts w:ascii="Times New Roman" w:cs="Times New Roman" w:eastAsia="Times New Roman" w:hAnsi="Times New Roman"/>
          <w:sz w:val="23"/>
          <w:szCs w:val="23"/>
          <w:rtl w:val="0"/>
        </w:rPr>
        <w:t xml:space="preserve">kahest</w:t>
      </w:r>
      <w:r w:rsidDel="00000000" w:rsidR="00000000" w:rsidRPr="00000000">
        <w:rPr>
          <w:rFonts w:ascii="Times New Roman" w:cs="Times New Roman" w:eastAsia="Times New Roman" w:hAnsi="Times New Roman"/>
          <w:color w:val="000000"/>
          <w:sz w:val="23"/>
          <w:szCs w:val="23"/>
          <w:rtl w:val="0"/>
        </w:rPr>
        <w:t xml:space="preserve"> osast: test ning situatsioonülesande lahendamine ja analüüsimine.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w:t>
      </w:r>
      <w:r w:rsidDel="00000000" w:rsidR="00000000" w:rsidRPr="00000000">
        <w:rPr>
          <w:rFonts w:ascii="Times New Roman" w:cs="Times New Roman" w:eastAsia="Times New Roman" w:hAnsi="Times New Roman"/>
          <w:sz w:val="23"/>
          <w:szCs w:val="23"/>
          <w:rtl w:val="0"/>
        </w:rPr>
        <w:t xml:space="preserve">3.</w:t>
      </w:r>
      <w:r w:rsidDel="00000000" w:rsidR="00000000" w:rsidRPr="00000000">
        <w:rPr>
          <w:rFonts w:ascii="Times New Roman" w:cs="Times New Roman" w:eastAsia="Times New Roman" w:hAnsi="Times New Roman"/>
          <w:color w:val="000000"/>
          <w:sz w:val="23"/>
          <w:szCs w:val="23"/>
          <w:rtl w:val="0"/>
        </w:rPr>
        <w:t xml:space="preserve"> Vestluse kodukord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w:t>
      </w:r>
      <w:r w:rsidDel="00000000" w:rsidR="00000000" w:rsidRPr="00000000">
        <w:rPr>
          <w:rFonts w:ascii="Times New Roman" w:cs="Times New Roman" w:eastAsia="Times New Roman" w:hAnsi="Times New Roman"/>
          <w:sz w:val="23"/>
          <w:szCs w:val="23"/>
          <w:rtl w:val="0"/>
        </w:rPr>
        <w:t xml:space="preserve">3</w:t>
      </w:r>
      <w:r w:rsidDel="00000000" w:rsidR="00000000" w:rsidRPr="00000000">
        <w:rPr>
          <w:rFonts w:ascii="Times New Roman" w:cs="Times New Roman" w:eastAsia="Times New Roman" w:hAnsi="Times New Roman"/>
          <w:color w:val="000000"/>
          <w:sz w:val="23"/>
          <w:szCs w:val="23"/>
          <w:rtl w:val="0"/>
        </w:rPr>
        <w:t xml:space="preserve">.1 Hindamise keeleks on eesti keel.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w:t>
      </w:r>
      <w:r w:rsidDel="00000000" w:rsidR="00000000" w:rsidRPr="00000000">
        <w:rPr>
          <w:rFonts w:ascii="Times New Roman" w:cs="Times New Roman" w:eastAsia="Times New Roman" w:hAnsi="Times New Roman"/>
          <w:sz w:val="23"/>
          <w:szCs w:val="23"/>
          <w:rtl w:val="0"/>
        </w:rPr>
        <w:t xml:space="preserve">3</w:t>
      </w:r>
      <w:r w:rsidDel="00000000" w:rsidR="00000000" w:rsidRPr="00000000">
        <w:rPr>
          <w:rFonts w:ascii="Times New Roman" w:cs="Times New Roman" w:eastAsia="Times New Roman" w:hAnsi="Times New Roman"/>
          <w:color w:val="000000"/>
          <w:sz w:val="23"/>
          <w:szCs w:val="23"/>
          <w:rtl w:val="0"/>
        </w:rPr>
        <w:t xml:space="preserve">.2 Kvaliteedispetsialist, tase 5 taotlejatega peavad vestlusi vähemalt kolm hindamiskomisjoni liiget. Vestlused toimuvad iga taotleja</w:t>
      </w:r>
      <w:r w:rsidDel="00000000" w:rsidR="00000000" w:rsidRPr="00000000">
        <w:rPr>
          <w:rFonts w:ascii="Times New Roman" w:cs="Times New Roman" w:eastAsia="Times New Roman" w:hAnsi="Times New Roman"/>
          <w:sz w:val="23"/>
          <w:szCs w:val="23"/>
          <w:rtl w:val="0"/>
        </w:rPr>
        <w:t xml:space="preserve">ga</w:t>
      </w:r>
      <w:r w:rsidDel="00000000" w:rsidR="00000000" w:rsidRPr="00000000">
        <w:rPr>
          <w:rFonts w:ascii="Times New Roman" w:cs="Times New Roman" w:eastAsia="Times New Roman" w:hAnsi="Times New Roman"/>
          <w:color w:val="000000"/>
          <w:sz w:val="23"/>
          <w:szCs w:val="23"/>
          <w:rtl w:val="0"/>
        </w:rPr>
        <w:t xml:space="preserve"> eraldi.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w:t>
      </w:r>
      <w:r w:rsidDel="00000000" w:rsidR="00000000" w:rsidRPr="00000000">
        <w:rPr>
          <w:rFonts w:ascii="Times New Roman" w:cs="Times New Roman" w:eastAsia="Times New Roman" w:hAnsi="Times New Roman"/>
          <w:sz w:val="23"/>
          <w:szCs w:val="23"/>
          <w:rtl w:val="0"/>
        </w:rPr>
        <w:t xml:space="preserve">3</w:t>
      </w:r>
      <w:r w:rsidDel="00000000" w:rsidR="00000000" w:rsidRPr="00000000">
        <w:rPr>
          <w:rFonts w:ascii="Times New Roman" w:cs="Times New Roman" w:eastAsia="Times New Roman" w:hAnsi="Times New Roman"/>
          <w:color w:val="000000"/>
          <w:sz w:val="23"/>
          <w:szCs w:val="23"/>
          <w:rtl w:val="0"/>
        </w:rPr>
        <w:t xml:space="preserve">.3 Vestluse sisuks on tutvuda taotleja senise </w:t>
      </w:r>
      <w:r w:rsidDel="00000000" w:rsidR="00000000" w:rsidRPr="00000000">
        <w:rPr>
          <w:rFonts w:ascii="Times New Roman" w:cs="Times New Roman" w:eastAsia="Times New Roman" w:hAnsi="Times New Roman"/>
          <w:sz w:val="23"/>
          <w:szCs w:val="23"/>
          <w:rtl w:val="0"/>
        </w:rPr>
        <w:t xml:space="preserve">erialase kogemusega</w:t>
      </w:r>
      <w:r w:rsidDel="00000000" w:rsidR="00000000" w:rsidRPr="00000000">
        <w:rPr>
          <w:rFonts w:ascii="Times New Roman" w:cs="Times New Roman" w:eastAsia="Times New Roman" w:hAnsi="Times New Roman"/>
          <w:color w:val="000000"/>
          <w:sz w:val="23"/>
          <w:szCs w:val="23"/>
          <w:rtl w:val="0"/>
        </w:rPr>
        <w:t xml:space="preserve"> ning saada vastuseid struktureeritud kirjaliku töö ja töömapi põhjal tekkinud küsimustele lähtuvalt hindamiskriteeriumitest.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w:t>
      </w:r>
      <w:r w:rsidDel="00000000" w:rsidR="00000000" w:rsidRPr="00000000">
        <w:rPr>
          <w:rFonts w:ascii="Times New Roman" w:cs="Times New Roman" w:eastAsia="Times New Roman" w:hAnsi="Times New Roman"/>
          <w:sz w:val="23"/>
          <w:szCs w:val="23"/>
          <w:rtl w:val="0"/>
        </w:rPr>
        <w:t xml:space="preserve">3</w:t>
      </w:r>
      <w:r w:rsidDel="00000000" w:rsidR="00000000" w:rsidRPr="00000000">
        <w:rPr>
          <w:rFonts w:ascii="Times New Roman" w:cs="Times New Roman" w:eastAsia="Times New Roman" w:hAnsi="Times New Roman"/>
          <w:color w:val="000000"/>
          <w:sz w:val="23"/>
          <w:szCs w:val="23"/>
          <w:rtl w:val="0"/>
        </w:rPr>
        <w:t xml:space="preserve">.4 Struktureeritud kirjaliku töö ja vestluse ajal on ruumis lubatud viibida ainult hindamisega seotud isikutel.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w:t>
      </w:r>
      <w:r w:rsidDel="00000000" w:rsidR="00000000" w:rsidRPr="00000000">
        <w:rPr>
          <w:rFonts w:ascii="Times New Roman" w:cs="Times New Roman" w:eastAsia="Times New Roman" w:hAnsi="Times New Roman"/>
          <w:sz w:val="23"/>
          <w:szCs w:val="23"/>
          <w:rtl w:val="0"/>
        </w:rPr>
        <w:t xml:space="preserve">4</w:t>
      </w:r>
      <w:r w:rsidDel="00000000" w:rsidR="00000000" w:rsidRPr="00000000">
        <w:rPr>
          <w:rFonts w:ascii="Times New Roman" w:cs="Times New Roman" w:eastAsia="Times New Roman" w:hAnsi="Times New Roman"/>
          <w:color w:val="000000"/>
          <w:sz w:val="23"/>
          <w:szCs w:val="23"/>
          <w:rtl w:val="0"/>
        </w:rPr>
        <w:t xml:space="preserve"> Struktureeritud kirjaliku töö ja vestluse ajal on taotlejal ruumis keelatud: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kõrvaliste abivahendite kasutamine;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hindamise salvestamine;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komisjoni liikmeid häiriv käitumine.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w:t>
      </w:r>
      <w:r w:rsidDel="00000000" w:rsidR="00000000" w:rsidRPr="00000000">
        <w:rPr>
          <w:rFonts w:ascii="Times New Roman" w:cs="Times New Roman" w:eastAsia="Times New Roman" w:hAnsi="Times New Roman"/>
          <w:sz w:val="23"/>
          <w:szCs w:val="23"/>
          <w:rtl w:val="0"/>
        </w:rPr>
        <w:t xml:space="preserve">5</w:t>
      </w:r>
      <w:r w:rsidDel="00000000" w:rsidR="00000000" w:rsidRPr="00000000">
        <w:rPr>
          <w:rFonts w:ascii="Times New Roman" w:cs="Times New Roman" w:eastAsia="Times New Roman" w:hAnsi="Times New Roman"/>
          <w:color w:val="000000"/>
          <w:sz w:val="23"/>
          <w:szCs w:val="23"/>
          <w:rtl w:val="0"/>
        </w:rPr>
        <w:t xml:space="preserve"> Hindamiskomisjoni liikmetel on õigus </w:t>
      </w:r>
      <w:r w:rsidDel="00000000" w:rsidR="00000000" w:rsidRPr="00000000">
        <w:rPr>
          <w:rFonts w:ascii="Times New Roman" w:cs="Times New Roman" w:eastAsia="Times New Roman" w:hAnsi="Times New Roman"/>
          <w:sz w:val="23"/>
          <w:szCs w:val="23"/>
          <w:rtl w:val="0"/>
        </w:rPr>
        <w:t xml:space="preserve">keelduda punktis 3.4. nimetatud juhtudel hindamise läbiviimisest.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4. Hindamiskriteeriumid </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e69138"/>
          <w:sz w:val="23"/>
          <w:szCs w:val="23"/>
        </w:rPr>
      </w:pPr>
      <w:bookmarkStart w:colFirst="0" w:colLast="0" w:name="_heading=h.3znysh7" w:id="2"/>
      <w:bookmarkEnd w:id="2"/>
      <w:r w:rsidDel="00000000" w:rsidR="00000000" w:rsidRPr="00000000">
        <w:rPr>
          <w:rFonts w:ascii="Times New Roman" w:cs="Times New Roman" w:eastAsia="Times New Roman" w:hAnsi="Times New Roman"/>
          <w:color w:val="000000"/>
          <w:sz w:val="23"/>
          <w:szCs w:val="23"/>
          <w:rtl w:val="0"/>
        </w:rPr>
        <w:t xml:space="preserve">Taotleja kompetent</w:t>
      </w:r>
      <w:r w:rsidDel="00000000" w:rsidR="00000000" w:rsidRPr="00000000">
        <w:rPr>
          <w:rFonts w:ascii="Times New Roman" w:cs="Times New Roman" w:eastAsia="Times New Roman" w:hAnsi="Times New Roman"/>
          <w:sz w:val="23"/>
          <w:szCs w:val="23"/>
          <w:rtl w:val="0"/>
        </w:rPr>
        <w:t xml:space="preserve">se</w:t>
      </w:r>
      <w:r w:rsidDel="00000000" w:rsidR="00000000" w:rsidRPr="00000000">
        <w:rPr>
          <w:rFonts w:ascii="Times New Roman" w:cs="Times New Roman" w:eastAsia="Times New Roman" w:hAnsi="Times New Roman"/>
          <w:color w:val="000000"/>
          <w:sz w:val="23"/>
          <w:szCs w:val="23"/>
          <w:rtl w:val="0"/>
        </w:rPr>
        <w:t xml:space="preserve"> hinnatakse  struktureeritud kirjaliku töö (v.a. lihtsustatud korras eksami puhul), töömapi ning vestluse alusel. Kutsealase kompetentsuse tõendamisel kirjeldab ja selgitab kutse taotleja oma kvaliteedijuhtimise alaseid teadmisi, oskusi ja kogemust, lähtudes allolevas tabelis esitatud hindamiskriteeriumitest.</w:t>
      </w:r>
      <w:r w:rsidDel="00000000" w:rsidR="00000000" w:rsidRPr="00000000">
        <w:rPr>
          <w:rFonts w:ascii="Times New Roman" w:cs="Times New Roman" w:eastAsia="Times New Roman" w:hAnsi="Times New Roman"/>
          <w:color w:val="e69138"/>
          <w:sz w:val="23"/>
          <w:szCs w:val="23"/>
          <w:rtl w:val="0"/>
        </w:rPr>
        <w:t xml:space="preserve"> </w:t>
      </w:r>
    </w:p>
    <w:p w:rsidR="00000000" w:rsidDel="00000000" w:rsidP="00000000" w:rsidRDefault="00000000" w:rsidRPr="00000000" w14:paraId="00000038">
      <w:pPr>
        <w:jc w:val="both"/>
        <w:rPr>
          <w:rFonts w:ascii="Times New Roman" w:cs="Times New Roman" w:eastAsia="Times New Roman" w:hAnsi="Times New Roman"/>
          <w:sz w:val="23"/>
          <w:szCs w:val="23"/>
        </w:rPr>
      </w:pPr>
      <w:r w:rsidDel="00000000" w:rsidR="00000000" w:rsidRPr="00000000">
        <w:rPr>
          <w:rtl w:val="0"/>
        </w:rPr>
      </w:r>
    </w:p>
    <w:tbl>
      <w:tblPr>
        <w:tblStyle w:val="Table1"/>
        <w:tblW w:w="8840.0" w:type="dxa"/>
        <w:jc w:val="left"/>
        <w:tblInd w:w="0.0" w:type="dxa"/>
        <w:tblLayout w:type="fixed"/>
        <w:tblLook w:val="0400"/>
      </w:tblPr>
      <w:tblGrid>
        <w:gridCol w:w="3520"/>
        <w:gridCol w:w="5320"/>
        <w:tblGridChange w:id="0">
          <w:tblGrid>
            <w:gridCol w:w="3520"/>
            <w:gridCol w:w="5320"/>
          </w:tblGrid>
        </w:tblGridChange>
      </w:tblGrid>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3A">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2745"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B.3.1 Juhtimissüsteemi väljatöötamine ja haldamine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C">
            <w:pPr>
              <w:spacing w:after="24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color w:val="000000"/>
                <w:sz w:val="23"/>
                <w:szCs w:val="23"/>
                <w:rtl w:val="0"/>
              </w:rPr>
              <w:t xml:space="preserve">1) kirjeldab juhtimissüsteemi väljatöötamist ja rakendamist; </w:t>
              <w:br w:type="textWrapping"/>
              <w:t xml:space="preserve">2) kirjeldab juhtimissüsteemi dokumentatsiooni väljatöötamist, ajakohastamist ja kättesaadavaks tegemist;</w:t>
              <w:br w:type="textWrapping"/>
              <w:t xml:space="preserve">3) selgitab </w:t>
            </w:r>
            <w:r w:rsidDel="00000000" w:rsidR="00000000" w:rsidRPr="00000000">
              <w:rPr>
                <w:rFonts w:ascii="Times New Roman" w:cs="Times New Roman" w:eastAsia="Times New Roman" w:hAnsi="Times New Roman"/>
                <w:color w:val="000000"/>
                <w:sz w:val="23"/>
                <w:szCs w:val="23"/>
                <w:rtl w:val="0"/>
              </w:rPr>
              <w:t xml:space="preserve">organisatsiooni juhtimissüsteemi protsesside toimimist ja mittevastavuste lahendamist;</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color w:val="000000"/>
                <w:sz w:val="23"/>
                <w:szCs w:val="23"/>
                <w:rtl w:val="0"/>
              </w:rPr>
              <w:br w:type="textWrapping"/>
            </w:r>
            <w:r w:rsidDel="00000000" w:rsidR="00000000" w:rsidRPr="00000000">
              <w:rPr>
                <w:rFonts w:ascii="Times New Roman" w:cs="Times New Roman" w:eastAsia="Times New Roman" w:hAnsi="Times New Roman"/>
                <w:sz w:val="23"/>
                <w:szCs w:val="23"/>
                <w:rtl w:val="0"/>
              </w:rPr>
              <w:t xml:space="preserve">4</w:t>
            </w:r>
            <w:r w:rsidDel="00000000" w:rsidR="00000000" w:rsidRPr="00000000">
              <w:rPr>
                <w:rFonts w:ascii="Times New Roman" w:cs="Times New Roman" w:eastAsia="Times New Roman" w:hAnsi="Times New Roman"/>
                <w:color w:val="000000"/>
                <w:sz w:val="23"/>
                <w:szCs w:val="23"/>
                <w:rtl w:val="0"/>
              </w:rPr>
              <w:t xml:space="preserve">) selgitab organisatsiooni arengu toetamist ja nõustamist, s.h. toob näiteid kvaliteedijuhtimise tööriistade rakendamisest</w:t>
            </w:r>
            <w:r w:rsidDel="00000000" w:rsidR="00000000" w:rsidRPr="00000000">
              <w:rPr>
                <w:rFonts w:ascii="Times New Roman" w:cs="Times New Roman" w:eastAsia="Times New Roman" w:hAnsi="Times New Roman"/>
                <w:sz w:val="23"/>
                <w:szCs w:val="23"/>
                <w:rtl w:val="0"/>
              </w:rPr>
              <w:t xml:space="preserve">;                                                   5) selgitab PDCA protsessi.                                                                      </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tl w:val="0"/>
        </w:rPr>
      </w:r>
    </w:p>
    <w:tbl>
      <w:tblPr>
        <w:tblStyle w:val="Table2"/>
        <w:tblW w:w="8840.0" w:type="dxa"/>
        <w:jc w:val="left"/>
        <w:tblInd w:w="0.0" w:type="dxa"/>
        <w:tblLayout w:type="fixed"/>
        <w:tblLook w:val="0400"/>
      </w:tblPr>
      <w:tblGrid>
        <w:gridCol w:w="3520"/>
        <w:gridCol w:w="5320"/>
        <w:tblGridChange w:id="0">
          <w:tblGrid>
            <w:gridCol w:w="3520"/>
            <w:gridCol w:w="532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41">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126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B.3.2 Organisatsioonile kohalduvate väliste nõuete ohjamine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3">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kirjeldab protsessi, kuidas identifitseeritakse</w:t>
              <w:br w:type="textWrapping"/>
              <w:t xml:space="preserve">organisatsioonile kohalduvaid nõudeid ja kuidas neid</w:t>
              <w:br w:type="textWrapping"/>
              <w:t xml:space="preserve">nõudeid kajastatakse ning ajakohastatakse organisatsioonisisestes dokumentides.</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bl>
      <w:tblPr>
        <w:tblStyle w:val="Table3"/>
        <w:tblW w:w="8840.0" w:type="dxa"/>
        <w:jc w:val="left"/>
        <w:tblInd w:w="0.0" w:type="dxa"/>
        <w:tblLayout w:type="fixed"/>
        <w:tblLook w:val="0400"/>
      </w:tblPr>
      <w:tblGrid>
        <w:gridCol w:w="3520"/>
        <w:gridCol w:w="5320"/>
        <w:tblGridChange w:id="0">
          <w:tblGrid>
            <w:gridCol w:w="3520"/>
            <w:gridCol w:w="5320"/>
          </w:tblGrid>
        </w:tblGridChange>
      </w:tblGrid>
      <w:tr>
        <w:trPr>
          <w:trHeight w:val="12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B.3.3 Kliendisuhete süsteemi ohjamine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kirjeldab terviklikku kliendisuhete süsteemi teostamist;</w:t>
              <w:br w:type="textWrapping"/>
              <w:t xml:space="preserve">2) selgitab kliendikaebuse lahendamise süsteemi teostamist.</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bl>
      <w:tblPr>
        <w:tblStyle w:val="Table4"/>
        <w:tblW w:w="8840.0" w:type="dxa"/>
        <w:jc w:val="left"/>
        <w:tblInd w:w="0.0" w:type="dxa"/>
        <w:tblLayout w:type="fixed"/>
        <w:tblLook w:val="0400"/>
      </w:tblPr>
      <w:tblGrid>
        <w:gridCol w:w="3520"/>
        <w:gridCol w:w="5320"/>
        <w:tblGridChange w:id="0">
          <w:tblGrid>
            <w:gridCol w:w="3520"/>
            <w:gridCol w:w="532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4D">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335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B.3.4 Protsesside juhtimise toetamine ja koordineerimine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F">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kirjeldab protsesside kaardistamist; </w:t>
              <w:br w:type="textWrapping"/>
              <w:t xml:space="preserve">2) visualiseerib organisatsiooni protsesse ning saab aru nendevahelistest seostest;</w:t>
              <w:br w:type="textWrapping"/>
              <w:t xml:space="preserve">3) selgitab protsessidokumentide vormistamist;</w:t>
              <w:br w:type="textWrapping"/>
              <w:t xml:space="preserve">4) kirjeldab protsesside mõõtmissüsteemide väljatöötamist;</w:t>
              <w:br w:type="textWrapping"/>
              <w:t xml:space="preserve">5) toob näiteid andmekogumismeetodite kasutamisest, demonstreerib meetodite kasutamise oskust;</w:t>
              <w:br w:type="textWrapping"/>
              <w:t xml:space="preserve">6) analüüsib protsesside tulemuslikkust;</w:t>
              <w:br w:type="textWrapping"/>
              <w:t xml:space="preserve">7) selgitab, kuidas erinevatele huvipooltele analüüsi tulemusi esitleda.</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bl>
      <w:tblPr>
        <w:tblStyle w:val="Table5"/>
        <w:tblW w:w="8840.0" w:type="dxa"/>
        <w:jc w:val="left"/>
        <w:tblInd w:w="0.0" w:type="dxa"/>
        <w:tblLayout w:type="fixed"/>
        <w:tblLook w:val="0400"/>
      </w:tblPr>
      <w:tblGrid>
        <w:gridCol w:w="3520"/>
        <w:gridCol w:w="5320"/>
        <w:tblGridChange w:id="0">
          <w:tblGrid>
            <w:gridCol w:w="3520"/>
            <w:gridCol w:w="532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54">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18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B.3.5 Juhtimissüsteemi toimivuse hindamise korraldamine ja hindamisprotsessi</w:t>
              <w:br w:type="textWrapping"/>
              <w:t xml:space="preserve">arendamine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6">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kirjeldab juhtimissüsteemi hindamissüsteemi ja selle funktsiooni;</w:t>
              <w:br w:type="textWrapping"/>
              <w:t xml:space="preserve">2) kirjeldab sise- ja välisauditite läbiviimist ja/või korraldamist ning arendamist;</w:t>
              <w:br w:type="textWrapping"/>
              <w:t xml:space="preserve">3) kirjeldab juhtimissüsteemi terviklikku enese- ja välishindamise korraldamist ning arendamist.</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bl>
      <w:tblPr>
        <w:tblStyle w:val="Table6"/>
        <w:tblW w:w="8840.0" w:type="dxa"/>
        <w:jc w:val="left"/>
        <w:tblInd w:w="0.0" w:type="dxa"/>
        <w:tblLayout w:type="fixed"/>
        <w:tblLook w:val="0400"/>
      </w:tblPr>
      <w:tblGrid>
        <w:gridCol w:w="3520"/>
        <w:gridCol w:w="5320"/>
        <w:tblGridChange w:id="0">
          <w:tblGrid>
            <w:gridCol w:w="3520"/>
            <w:gridCol w:w="532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5B">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161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B.3.6 Andmete kogumine ja analüüsimine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D">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kirjeldab eesmärkide ja mõõdikute määratlemist ja rakendamist;</w:t>
              <w:br w:type="textWrapping"/>
              <w:t xml:space="preserve">2) valib välja sobiva mõõtmistulemuste visuaalse</w:t>
              <w:br w:type="textWrapping"/>
              <w:t xml:space="preserve">esitlemise meetodi ja kasutab seda etteantud andmete esitamiseks ning põhjendab valikut. </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bl>
      <w:tblPr>
        <w:tblStyle w:val="Table7"/>
        <w:tblW w:w="8840.0" w:type="dxa"/>
        <w:jc w:val="left"/>
        <w:tblInd w:w="0.0" w:type="dxa"/>
        <w:tblLayout w:type="fixed"/>
        <w:tblLook w:val="0400"/>
      </w:tblPr>
      <w:tblGrid>
        <w:gridCol w:w="3520"/>
        <w:gridCol w:w="5320"/>
        <w:tblGridChange w:id="0">
          <w:tblGrid>
            <w:gridCol w:w="3520"/>
            <w:gridCol w:w="532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62">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12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B.3.7 Muudatuste juhtimine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4">
            <w:pPr>
              <w:spacing w:after="24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kirjeldab muudatusvajaduse määratlemist, muudatuse elluviimist ja selle mõju hindamist.</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bl>
      <w:tblPr>
        <w:tblStyle w:val="Table8"/>
        <w:tblW w:w="8840.0" w:type="dxa"/>
        <w:jc w:val="left"/>
        <w:tblInd w:w="0.0" w:type="dxa"/>
        <w:tblLayout w:type="fixed"/>
        <w:tblLook w:val="0400"/>
      </w:tblPr>
      <w:tblGrid>
        <w:gridCol w:w="3520"/>
        <w:gridCol w:w="5320"/>
        <w:tblGridChange w:id="0">
          <w:tblGrid>
            <w:gridCol w:w="3520"/>
            <w:gridCol w:w="532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6A">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15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B.3.8 Juhtimissüsteemi sisemise ja välise teabevahetuse korraldamine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C">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kirjeldab aja- ja asjakohase sõnumi vormistamist, lähtudes juhistest ja sihtgrupist;</w:t>
              <w:br w:type="textWrapping"/>
              <w:t xml:space="preserve">2) kirjeldab, millised on sisemise ja välise teabevahetuse kanalid ning milline infoedastus on vastavatele sihtgruppidele asjakohane. </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bl>
      <w:tblPr>
        <w:tblStyle w:val="Table9"/>
        <w:tblW w:w="8840.0" w:type="dxa"/>
        <w:jc w:val="left"/>
        <w:tblInd w:w="0.0" w:type="dxa"/>
        <w:tblLayout w:type="fixed"/>
        <w:tblLook w:val="0400"/>
      </w:tblPr>
      <w:tblGrid>
        <w:gridCol w:w="3520"/>
        <w:gridCol w:w="5320"/>
        <w:tblGridChange w:id="0">
          <w:tblGrid>
            <w:gridCol w:w="3520"/>
            <w:gridCol w:w="532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71">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211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B.3.9 Kvaliteedialane koolitamine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3">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nimetab koolitusvajaduse tekkepõhjusi ja kirjeldab erinevaid kvaliteedialase koolituse sihtrühmi sõltuvalt organisatsiooni eripärast;</w:t>
              <w:br w:type="textWrapping"/>
              <w:t xml:space="preserve">2) sõnastab etteantud koolitusvajaduse põhjal koolituse õpiväljundid ning valib õpiväljundile sobiva koolitusvormi ja - meetodi;</w:t>
              <w:br w:type="textWrapping"/>
              <w:t xml:space="preserve">3) kirjeldab koolitusprotsessi etappe  ja nende olulisust.</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5. Hindamine </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highlight w:val="yellow"/>
        </w:rPr>
      </w:pPr>
      <w:r w:rsidDel="00000000" w:rsidR="00000000" w:rsidRPr="00000000">
        <w:rPr>
          <w:rFonts w:ascii="Times New Roman" w:cs="Times New Roman" w:eastAsia="Times New Roman" w:hAnsi="Times New Roman"/>
          <w:color w:val="000000"/>
          <w:sz w:val="23"/>
          <w:szCs w:val="23"/>
          <w:rtl w:val="0"/>
        </w:rPr>
        <w:t xml:space="preserve">5.1 </w:t>
      </w:r>
      <w:r w:rsidDel="00000000" w:rsidR="00000000" w:rsidRPr="00000000">
        <w:rPr>
          <w:rFonts w:ascii="Times New Roman" w:cs="Times New Roman" w:eastAsia="Times New Roman" w:hAnsi="Times New Roman"/>
          <w:sz w:val="23"/>
          <w:szCs w:val="23"/>
          <w:rtl w:val="0"/>
        </w:rPr>
        <w:t xml:space="preserve">Hindamiskomisjoni</w:t>
      </w:r>
      <w:r w:rsidDel="00000000" w:rsidR="00000000" w:rsidRPr="00000000">
        <w:rPr>
          <w:rFonts w:ascii="Times New Roman" w:cs="Times New Roman" w:eastAsia="Times New Roman" w:hAnsi="Times New Roman"/>
          <w:color w:val="000000"/>
          <w:sz w:val="23"/>
          <w:szCs w:val="23"/>
          <w:rtl w:val="0"/>
        </w:rPr>
        <w:t xml:space="preserve"> liikmed hindavad sõltumatult kvaliteedispetsialist, tase 5 taotleja teadmiste ja oskuste vastavust kutsestandardile, kasutades hindamisvormi H1 (lisa </w:t>
      </w:r>
      <w:r w:rsidDel="00000000" w:rsidR="00000000" w:rsidRPr="00000000">
        <w:rPr>
          <w:rFonts w:ascii="Times New Roman" w:cs="Times New Roman" w:eastAsia="Times New Roman" w:hAnsi="Times New Roman"/>
          <w:sz w:val="23"/>
          <w:szCs w:val="23"/>
          <w:rtl w:val="0"/>
        </w:rPr>
        <w:t xml:space="preserve">5</w:t>
      </w:r>
      <w:r w:rsidDel="00000000" w:rsidR="00000000" w:rsidRPr="00000000">
        <w:rPr>
          <w:rFonts w:ascii="Times New Roman" w:cs="Times New Roman" w:eastAsia="Times New Roman" w:hAnsi="Times New Roman"/>
          <w:color w:val="000000"/>
          <w:sz w:val="23"/>
          <w:szCs w:val="23"/>
          <w:rtl w:val="0"/>
        </w:rPr>
        <w:t xml:space="preserve">). </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5.2 Pärast hindamise II etapi lõppu </w:t>
      </w:r>
      <w:r w:rsidDel="00000000" w:rsidR="00000000" w:rsidRPr="00000000">
        <w:rPr>
          <w:rFonts w:ascii="Times New Roman" w:cs="Times New Roman" w:eastAsia="Times New Roman" w:hAnsi="Times New Roman"/>
          <w:sz w:val="23"/>
          <w:szCs w:val="23"/>
          <w:rtl w:val="0"/>
        </w:rPr>
        <w:t xml:space="preserve">täidab hindamiskomisjon</w:t>
      </w:r>
      <w:r w:rsidDel="00000000" w:rsidR="00000000" w:rsidRPr="00000000">
        <w:rPr>
          <w:rFonts w:ascii="Times New Roman" w:cs="Times New Roman" w:eastAsia="Times New Roman" w:hAnsi="Times New Roman"/>
          <w:color w:val="000000"/>
          <w:sz w:val="23"/>
          <w:szCs w:val="23"/>
          <w:rtl w:val="0"/>
        </w:rPr>
        <w:t xml:space="preserve"> iga taotleja kohta koondhinnangu</w:t>
      </w:r>
      <w:r w:rsidDel="00000000" w:rsidR="00000000" w:rsidRPr="00000000">
        <w:rPr>
          <w:rFonts w:ascii="Times New Roman" w:cs="Times New Roman" w:eastAsia="Times New Roman" w:hAnsi="Times New Roman"/>
          <w:sz w:val="23"/>
          <w:szCs w:val="23"/>
          <w:rtl w:val="0"/>
        </w:rPr>
        <w:t xml:space="preserve"> vormi</w:t>
      </w:r>
      <w:r w:rsidDel="00000000" w:rsidR="00000000" w:rsidRPr="00000000">
        <w:rPr>
          <w:rFonts w:ascii="Times New Roman" w:cs="Times New Roman" w:eastAsia="Times New Roman" w:hAnsi="Times New Roman"/>
          <w:color w:val="000000"/>
          <w:sz w:val="23"/>
          <w:szCs w:val="23"/>
          <w:rtl w:val="0"/>
        </w:rPr>
        <w:t xml:space="preserve"> H4 (lisa 1). </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5.3 Kui hindamiskomisjoni liikmete hinnangud jagunevad võrdselt, siis on tulemuste määramisel otsustavaks hindamiskomisjoni esimehe hinnang. </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5.4 Hindamiskomisjon koostab hindamisprotokolli</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 vorm H5 (lisa 2). Protokolli koostamise aluseks on koondhinnangu </w:t>
      </w:r>
      <w:r w:rsidDel="00000000" w:rsidR="00000000" w:rsidRPr="00000000">
        <w:rPr>
          <w:rFonts w:ascii="Times New Roman" w:cs="Times New Roman" w:eastAsia="Times New Roman" w:hAnsi="Times New Roman"/>
          <w:sz w:val="23"/>
          <w:szCs w:val="23"/>
          <w:rtl w:val="0"/>
        </w:rPr>
        <w:t xml:space="preserve">vorm H4 (lisa 1)</w:t>
      </w:r>
      <w:r w:rsidDel="00000000" w:rsidR="00000000" w:rsidRPr="00000000">
        <w:rPr>
          <w:rFonts w:ascii="Times New Roman" w:cs="Times New Roman" w:eastAsia="Times New Roman" w:hAnsi="Times New Roman"/>
          <w:color w:val="000000"/>
          <w:sz w:val="23"/>
          <w:szCs w:val="23"/>
          <w:rtl w:val="0"/>
        </w:rPr>
        <w:t xml:space="preserve">. Hindamis</w:t>
      </w:r>
      <w:r w:rsidDel="00000000" w:rsidR="00000000" w:rsidRPr="00000000">
        <w:rPr>
          <w:rFonts w:ascii="Times New Roman" w:cs="Times New Roman" w:eastAsia="Times New Roman" w:hAnsi="Times New Roman"/>
          <w:sz w:val="23"/>
          <w:szCs w:val="23"/>
          <w:rtl w:val="0"/>
        </w:rPr>
        <w:t xml:space="preserve">p</w:t>
      </w:r>
      <w:r w:rsidDel="00000000" w:rsidR="00000000" w:rsidRPr="00000000">
        <w:rPr>
          <w:rFonts w:ascii="Times New Roman" w:cs="Times New Roman" w:eastAsia="Times New Roman" w:hAnsi="Times New Roman"/>
          <w:color w:val="000000"/>
          <w:sz w:val="23"/>
          <w:szCs w:val="23"/>
          <w:rtl w:val="0"/>
        </w:rPr>
        <w:t xml:space="preserve">rotokollile kirjutavad alla kõik hindamiskomisjoni liikmed. </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bookmarkStart w:colFirst="0" w:colLast="0" w:name="_heading=h.2et92p0" w:id="3"/>
      <w:bookmarkEnd w:id="3"/>
      <w:r w:rsidDel="00000000" w:rsidR="00000000" w:rsidRPr="00000000">
        <w:rPr>
          <w:rFonts w:ascii="Times New Roman" w:cs="Times New Roman" w:eastAsia="Times New Roman" w:hAnsi="Times New Roman"/>
          <w:color w:val="000000"/>
          <w:sz w:val="23"/>
          <w:szCs w:val="23"/>
          <w:rtl w:val="0"/>
        </w:rPr>
        <w:t xml:space="preserve">5.5 Hindamiskomisjon esitab hindamisprotokolli koos ettepanekutega kutse andmise või mitteandmiste kohta kutsekomisjonile.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5.6 </w:t>
      </w:r>
      <w:r w:rsidDel="00000000" w:rsidR="00000000" w:rsidRPr="00000000">
        <w:rPr>
          <w:rFonts w:ascii="Times New Roman" w:cs="Times New Roman" w:eastAsia="Times New Roman" w:hAnsi="Times New Roman"/>
          <w:color w:val="3c4043"/>
          <w:sz w:val="23"/>
          <w:szCs w:val="23"/>
          <w:rtl w:val="0"/>
        </w:rPr>
        <w:t xml:space="preserve">Kutsekomisjon otsustab peale hindamiskomisjoni poolt hindamisprotokolli H5 saamist (lisa 2) kutse taotlejale kutse andmise või andmata jätmise.</w:t>
      </w:r>
      <w:r w:rsidDel="00000000" w:rsidR="00000000" w:rsidRPr="00000000">
        <w:rPr>
          <w:rFonts w:ascii="Times New Roman" w:cs="Times New Roman" w:eastAsia="Times New Roman" w:hAnsi="Times New Roman"/>
          <w:color w:val="000000"/>
          <w:sz w:val="23"/>
          <w:szCs w:val="23"/>
          <w:rtl w:val="0"/>
        </w:rPr>
        <w:t xml:space="preserve"> </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5.7  Kutsekomisjoni otsus on avalik dokument.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5.8</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Hindamis- ja kutsekomisjoni tegevuse vaidlustamise protsess on kirjeldatud dokumendihalduse korras. </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sz w:val="23"/>
          <w:szCs w:val="23"/>
          <w:rtl w:val="0"/>
        </w:rPr>
        <w:t xml:space="preserve">5</w:t>
      </w:r>
      <w:r w:rsidDel="00000000" w:rsidR="00000000" w:rsidRPr="00000000">
        <w:rPr>
          <w:rFonts w:ascii="Times New Roman" w:cs="Times New Roman" w:eastAsia="Times New Roman" w:hAnsi="Times New Roman"/>
          <w:color w:val="000000"/>
          <w:sz w:val="23"/>
          <w:szCs w:val="23"/>
          <w:rtl w:val="0"/>
        </w:rPr>
        <w:t xml:space="preserve">.9. Hindamisjuhend hindajale </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5.9.1 Enne hindamist tutvuge </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kvaliteedispetsialist, tase 5 kutsestandardiga; </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kompetentsipõhise hindamise mõistete ja põhimõtetega; </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kutse andmise korraga; </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hindamise üldise informatsiooniga; </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hindamiskriteeriumidega; </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hindamismeetoditega; </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hindamise korraldusega;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hindamisel kasutatavate vormidega. </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5.9.2 Hindamise ajal </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jälgige igat taotlejat hindamisprotsessis personaalselt; </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täitke iga taotleja kohta personaalne hindamisvorm; </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esitage vajadusel küsimusi hindamiskriteeriumide täitmise osas; </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hinnake kõikide hindamiskriteeriumite järgi; </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vormistage hindamistulemus iga hindamiskriteeriumi kohta.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5.9.3 Hindamise järel </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andke taotlejale konstruktiivset tagasisidet; </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vormistage hindamistulemus. </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6. Vormid hinda</w:t>
      </w:r>
      <w:r w:rsidDel="00000000" w:rsidR="00000000" w:rsidRPr="00000000">
        <w:rPr>
          <w:rFonts w:ascii="Times New Roman" w:cs="Times New Roman" w:eastAsia="Times New Roman" w:hAnsi="Times New Roman"/>
          <w:b w:val="1"/>
          <w:sz w:val="23"/>
          <w:szCs w:val="23"/>
          <w:rtl w:val="0"/>
        </w:rPr>
        <w:t xml:space="preserve">miskomisjonile</w:t>
      </w:r>
      <w:r w:rsidDel="00000000" w:rsidR="00000000" w:rsidRPr="00000000">
        <w:rPr>
          <w:rFonts w:ascii="Times New Roman" w:cs="Times New Roman" w:eastAsia="Times New Roman" w:hAnsi="Times New Roman"/>
          <w:b w:val="1"/>
          <w:color w:val="000000"/>
          <w:sz w:val="23"/>
          <w:szCs w:val="23"/>
          <w:rtl w:val="0"/>
        </w:rPr>
        <w:t xml:space="preserve"> </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6.1 Kvaliteedispetsialist, tase 5 hindamise korraldamise ja tulemuste protokoll VORM H1 (lisa </w:t>
      </w:r>
      <w:r w:rsidDel="00000000" w:rsidR="00000000" w:rsidRPr="00000000">
        <w:rPr>
          <w:rFonts w:ascii="Times New Roman" w:cs="Times New Roman" w:eastAsia="Times New Roman" w:hAnsi="Times New Roman"/>
          <w:sz w:val="23"/>
          <w:szCs w:val="23"/>
          <w:rtl w:val="0"/>
        </w:rPr>
        <w:t xml:space="preserve">5</w:t>
      </w:r>
      <w:r w:rsidDel="00000000" w:rsidR="00000000" w:rsidRPr="00000000">
        <w:rPr>
          <w:rFonts w:ascii="Times New Roman" w:cs="Times New Roman" w:eastAsia="Times New Roman" w:hAnsi="Times New Roman"/>
          <w:color w:val="000000"/>
          <w:sz w:val="23"/>
          <w:szCs w:val="23"/>
          <w:rtl w:val="0"/>
        </w:rPr>
        <w:t xml:space="preserve">) </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6.2 Taotlejale koondhinnangu vorm VORM H4 (lisa 1)</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6.3 Hindamisprotokoll VORM H5 (lisa 2)</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highlight w:val="yellow"/>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highlight w:val="yellow"/>
        </w:rPr>
      </w:pPr>
      <w:r w:rsidDel="00000000" w:rsidR="00000000" w:rsidRPr="00000000">
        <w:rPr>
          <w:rtl w:val="0"/>
        </w:rPr>
      </w:r>
    </w:p>
    <w:p w:rsidR="00000000" w:rsidDel="00000000" w:rsidP="00000000" w:rsidRDefault="00000000" w:rsidRPr="00000000" w14:paraId="000000A1">
      <w:pPr>
        <w:spacing w:after="0" w:line="240" w:lineRule="auto"/>
        <w:jc w:val="both"/>
        <w:rPr>
          <w:rFonts w:ascii="Times New Roman" w:cs="Times New Roman" w:eastAsia="Times New Roman" w:hAnsi="Times New Roman"/>
          <w:b w:val="1"/>
          <w:sz w:val="23"/>
          <w:szCs w:val="23"/>
        </w:rPr>
      </w:pPr>
      <w:bookmarkStart w:colFirst="0" w:colLast="0" w:name="_heading=h.gjdgxs" w:id="4"/>
      <w:bookmarkEnd w:id="4"/>
      <w:r w:rsidDel="00000000" w:rsidR="00000000" w:rsidRPr="00000000">
        <w:rPr>
          <w:rFonts w:ascii="Times New Roman" w:cs="Times New Roman" w:eastAsia="Times New Roman" w:hAnsi="Times New Roman"/>
          <w:b w:val="1"/>
          <w:sz w:val="23"/>
          <w:szCs w:val="23"/>
          <w:rtl w:val="0"/>
        </w:rPr>
        <w:t xml:space="preserve">7. Vormid taotlejale</w:t>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7.1.Kutse taotlemiseks esitatavad dokumendid, millest tuleb </w:t>
      </w:r>
      <w:r w:rsidDel="00000000" w:rsidR="00000000" w:rsidRPr="00000000">
        <w:rPr>
          <w:rFonts w:ascii="Times New Roman" w:cs="Times New Roman" w:eastAsia="Times New Roman" w:hAnsi="Times New Roman"/>
          <w:color w:val="000000"/>
          <w:sz w:val="23"/>
          <w:szCs w:val="23"/>
          <w:rtl w:val="0"/>
        </w:rPr>
        <w:t xml:space="preserve">kutse andjale </w:t>
      </w:r>
      <w:r w:rsidDel="00000000" w:rsidR="00000000" w:rsidRPr="00000000">
        <w:rPr>
          <w:rFonts w:ascii="Times New Roman" w:cs="Times New Roman" w:eastAsia="Times New Roman" w:hAnsi="Times New Roman"/>
          <w:sz w:val="23"/>
          <w:szCs w:val="23"/>
          <w:rtl w:val="0"/>
        </w:rPr>
        <w:t xml:space="preserve">saatmiseks koostada</w:t>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digitaalselt allkirjastatud konteiner:</w:t>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 eestikeelne CV-taotlusvorm (lisa 4);</w:t>
      </w:r>
    </w:p>
    <w:p w:rsidR="00000000" w:rsidDel="00000000" w:rsidP="00000000" w:rsidRDefault="00000000" w:rsidRPr="00000000" w14:paraId="000000A5">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 koopia haridustaset tõendavast dokumendist;</w:t>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 koopia isikut tõendavast dokumendist (pass või ID kaart);</w:t>
      </w:r>
    </w:p>
    <w:p w:rsidR="00000000" w:rsidDel="00000000" w:rsidP="00000000" w:rsidRDefault="00000000" w:rsidRPr="00000000" w14:paraId="000000A7">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sz w:val="23"/>
          <w:szCs w:val="23"/>
          <w:rtl w:val="0"/>
        </w:rPr>
        <w:t xml:space="preserve">4) töömapp (vastavalt Kutsestandardile ja käesoleva dokumendid lisale 3)</w:t>
      </w:r>
      <w:r w:rsidDel="00000000" w:rsidR="00000000" w:rsidRPr="00000000">
        <w:rPr>
          <w:rFonts w:ascii="Times New Roman" w:cs="Times New Roman" w:eastAsia="Times New Roman" w:hAnsi="Times New Roman"/>
          <w:color w:val="000000"/>
          <w:sz w:val="23"/>
          <w:szCs w:val="23"/>
          <w:rtl w:val="0"/>
        </w:rPr>
        <w:t xml:space="preserve">;</w:t>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5) maksekorraldus kutse andmisega seotud kulude tasumise kohta.</w:t>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AA">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AB">
      <w:pPr>
        <w:spacing w:after="0" w:line="240" w:lineRule="auto"/>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8. Hindamisstandardi lisad</w:t>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Lisa 1 – Vorm H4 Taotlejate koondhinnangu vorm</w:t>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Lisa 2 – Vorm H5 Hindamisprotokoll</w:t>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Lisa 3 - Töömapi koostamise juhend</w:t>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Lisa 4 - CV-Taotlusvorm</w:t>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Lisa 7 – Vorm H3 Kvaliteedijuht, tase 7 hindamisvorm</w:t>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6">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7">
      <w:pPr>
        <w:spacing w:after="0" w:line="240" w:lineRule="auto"/>
        <w:jc w:val="both"/>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Dokumendi muutmise ajalugu</w:t>
      </w:r>
    </w:p>
    <w:p w:rsidR="00000000" w:rsidDel="00000000" w:rsidP="00000000" w:rsidRDefault="00000000" w:rsidRPr="00000000" w14:paraId="000000B8">
      <w:pPr>
        <w:spacing w:after="0" w:line="240" w:lineRule="auto"/>
        <w:jc w:val="both"/>
        <w:rPr>
          <w:rFonts w:ascii="Times New Roman" w:cs="Times New Roman" w:eastAsia="Times New Roman" w:hAnsi="Times New Roman"/>
          <w:b w:val="1"/>
          <w:color w:val="000000"/>
          <w:sz w:val="23"/>
          <w:szCs w:val="23"/>
        </w:rPr>
      </w:pPr>
      <w:r w:rsidDel="00000000" w:rsidR="00000000" w:rsidRPr="00000000">
        <w:rPr>
          <w:rtl w:val="0"/>
        </w:rPr>
      </w:r>
    </w:p>
    <w:tbl>
      <w:tblPr>
        <w:tblStyle w:val="Table10"/>
        <w:tblW w:w="941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6"/>
        <w:gridCol w:w="1980"/>
        <w:gridCol w:w="1365"/>
        <w:gridCol w:w="4770"/>
        <w:tblGridChange w:id="0">
          <w:tblGrid>
            <w:gridCol w:w="1296"/>
            <w:gridCol w:w="1980"/>
            <w:gridCol w:w="1365"/>
            <w:gridCol w:w="4770"/>
          </w:tblGrid>
        </w:tblGridChange>
      </w:tblGrid>
      <w:tr>
        <w:tc>
          <w:tcPr>
            <w:shd w:fill="d9d9d9" w:val="clear"/>
          </w:tcPr>
          <w:p w:rsidR="00000000" w:rsidDel="00000000" w:rsidP="00000000" w:rsidRDefault="00000000" w:rsidRPr="00000000" w14:paraId="000000B9">
            <w:pPr>
              <w:spacing w:after="0" w:line="240" w:lineRule="auto"/>
              <w:jc w:val="both"/>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Revision</w:t>
            </w:r>
          </w:p>
        </w:tc>
        <w:tc>
          <w:tcPr>
            <w:shd w:fill="d9d9d9" w:val="clear"/>
          </w:tcPr>
          <w:p w:rsidR="00000000" w:rsidDel="00000000" w:rsidP="00000000" w:rsidRDefault="00000000" w:rsidRPr="00000000" w14:paraId="000000BA">
            <w:pPr>
              <w:spacing w:after="0" w:line="240" w:lineRule="auto"/>
              <w:jc w:val="both"/>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Kinnitaja</w:t>
            </w:r>
          </w:p>
        </w:tc>
        <w:tc>
          <w:tcPr>
            <w:shd w:fill="d9d9d9" w:val="clear"/>
          </w:tcPr>
          <w:p w:rsidR="00000000" w:rsidDel="00000000" w:rsidP="00000000" w:rsidRDefault="00000000" w:rsidRPr="00000000" w14:paraId="000000BB">
            <w:pPr>
              <w:spacing w:after="0" w:line="240" w:lineRule="auto"/>
              <w:jc w:val="both"/>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Kinnitatud</w:t>
            </w:r>
          </w:p>
        </w:tc>
        <w:tc>
          <w:tcPr>
            <w:shd w:fill="d9d9d9" w:val="clear"/>
          </w:tcPr>
          <w:p w:rsidR="00000000" w:rsidDel="00000000" w:rsidP="00000000" w:rsidRDefault="00000000" w:rsidRPr="00000000" w14:paraId="000000BC">
            <w:pPr>
              <w:spacing w:after="0" w:line="240" w:lineRule="auto"/>
              <w:jc w:val="both"/>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Märkused, muudatused</w:t>
            </w:r>
          </w:p>
        </w:tc>
      </w:tr>
      <w:tr>
        <w:tc>
          <w:tcPr/>
          <w:p w:rsidR="00000000" w:rsidDel="00000000" w:rsidP="00000000" w:rsidRDefault="00000000" w:rsidRPr="00000000" w14:paraId="000000BD">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Rev. 1</w:t>
            </w:r>
          </w:p>
        </w:tc>
        <w:tc>
          <w:tcPr/>
          <w:p w:rsidR="00000000" w:rsidDel="00000000" w:rsidP="00000000" w:rsidRDefault="00000000" w:rsidRPr="00000000" w14:paraId="000000BE">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Kutsekomisjon</w:t>
            </w:r>
          </w:p>
        </w:tc>
        <w:tc>
          <w:tcPr/>
          <w:p w:rsidR="00000000" w:rsidDel="00000000" w:rsidP="00000000" w:rsidRDefault="00000000" w:rsidRPr="00000000" w14:paraId="000000BF">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12.11.2014</w:t>
            </w:r>
          </w:p>
        </w:tc>
        <w:tc>
          <w:tcPr/>
          <w:p w:rsidR="00000000" w:rsidDel="00000000" w:rsidP="00000000" w:rsidRDefault="00000000" w:rsidRPr="00000000" w14:paraId="000000C0">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Uus dokument </w:t>
            </w:r>
          </w:p>
        </w:tc>
      </w:tr>
      <w:tr>
        <w:tc>
          <w:tcPr/>
          <w:p w:rsidR="00000000" w:rsidDel="00000000" w:rsidP="00000000" w:rsidRDefault="00000000" w:rsidRPr="00000000" w14:paraId="000000C1">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Rev. 2</w:t>
            </w:r>
          </w:p>
        </w:tc>
        <w:tc>
          <w:tcPr/>
          <w:p w:rsidR="00000000" w:rsidDel="00000000" w:rsidP="00000000" w:rsidRDefault="00000000" w:rsidRPr="00000000" w14:paraId="000000C2">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Kutsekomisjon</w:t>
            </w:r>
          </w:p>
        </w:tc>
        <w:tc>
          <w:tcPr/>
          <w:p w:rsidR="00000000" w:rsidDel="00000000" w:rsidP="00000000" w:rsidRDefault="00000000" w:rsidRPr="00000000" w14:paraId="000000C3">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w:t>
            </w:r>
            <w:r w:rsidDel="00000000" w:rsidR="00000000" w:rsidRPr="00000000">
              <w:rPr>
                <w:rFonts w:ascii="Times New Roman" w:cs="Times New Roman" w:eastAsia="Times New Roman" w:hAnsi="Times New Roman"/>
                <w:sz w:val="23"/>
                <w:szCs w:val="23"/>
                <w:rtl w:val="0"/>
              </w:rPr>
              <w:t xml:space="preserve">6</w:t>
            </w:r>
            <w:r w:rsidDel="00000000" w:rsidR="00000000" w:rsidRPr="00000000">
              <w:rPr>
                <w:rFonts w:ascii="Times New Roman" w:cs="Times New Roman" w:eastAsia="Times New Roman" w:hAnsi="Times New Roman"/>
                <w:color w:val="000000"/>
                <w:sz w:val="23"/>
                <w:szCs w:val="23"/>
                <w:rtl w:val="0"/>
              </w:rPr>
              <w:t xml:space="preserve">.10.2020</w:t>
            </w:r>
          </w:p>
        </w:tc>
        <w:tc>
          <w:tcPr/>
          <w:p w:rsidR="00000000" w:rsidDel="00000000" w:rsidP="00000000" w:rsidRDefault="00000000" w:rsidRPr="00000000" w14:paraId="000000C4">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Tase 5, 6 ja 7 hindamisstandardid on viidud eraldi dokumentidesse ja hindamisstandardi sisu vastavusse 18.5.2020 kehtima hakanud kutsestandardiga</w:t>
            </w:r>
          </w:p>
        </w:tc>
      </w:tr>
      <w:tr>
        <w:tc>
          <w:tcPr/>
          <w:p w:rsidR="00000000" w:rsidDel="00000000" w:rsidP="00000000" w:rsidRDefault="00000000" w:rsidRPr="00000000" w14:paraId="000000C5">
            <w:pP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c>
        <w:tc>
          <w:tcPr/>
          <w:p w:rsidR="00000000" w:rsidDel="00000000" w:rsidP="00000000" w:rsidRDefault="00000000" w:rsidRPr="00000000" w14:paraId="000000C6">
            <w:pP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c>
        <w:tc>
          <w:tcPr/>
          <w:p w:rsidR="00000000" w:rsidDel="00000000" w:rsidP="00000000" w:rsidRDefault="00000000" w:rsidRPr="00000000" w14:paraId="000000C7">
            <w:pP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c>
        <w:tc>
          <w:tcPr/>
          <w:p w:rsidR="00000000" w:rsidDel="00000000" w:rsidP="00000000" w:rsidRDefault="00000000" w:rsidRPr="00000000" w14:paraId="000000C8">
            <w:pP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c>
      </w:tr>
      <w:tr>
        <w:tc>
          <w:tcPr/>
          <w:p w:rsidR="00000000" w:rsidDel="00000000" w:rsidP="00000000" w:rsidRDefault="00000000" w:rsidRPr="00000000" w14:paraId="000000C9">
            <w:pP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c>
        <w:tc>
          <w:tcPr/>
          <w:p w:rsidR="00000000" w:rsidDel="00000000" w:rsidP="00000000" w:rsidRDefault="00000000" w:rsidRPr="00000000" w14:paraId="000000CA">
            <w:pP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c>
        <w:tc>
          <w:tcPr/>
          <w:p w:rsidR="00000000" w:rsidDel="00000000" w:rsidP="00000000" w:rsidRDefault="00000000" w:rsidRPr="00000000" w14:paraId="000000CB">
            <w:pP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c>
        <w:tc>
          <w:tcPr/>
          <w:p w:rsidR="00000000" w:rsidDel="00000000" w:rsidP="00000000" w:rsidRDefault="00000000" w:rsidRPr="00000000" w14:paraId="000000CC">
            <w:pP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c>
      </w:tr>
    </w:tbl>
    <w:p w:rsidR="00000000" w:rsidDel="00000000" w:rsidP="00000000" w:rsidRDefault="00000000" w:rsidRPr="00000000" w14:paraId="000000CD">
      <w:pPr>
        <w:spacing w:after="0" w:line="240" w:lineRule="auto"/>
        <w:jc w:val="both"/>
        <w:rPr>
          <w:rFonts w:ascii="Times New Roman" w:cs="Times New Roman" w:eastAsia="Times New Roman" w:hAnsi="Times New Roman"/>
          <w:sz w:val="23"/>
          <w:szCs w:val="23"/>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-139699</wp:posOffset>
          </wp:positionH>
          <wp:positionV relativeFrom="paragraph">
            <wp:posOffset>-87629</wp:posOffset>
          </wp:positionV>
          <wp:extent cx="1797050" cy="5080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7050" cy="508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AE1ADE"/>
    <w:pPr>
      <w:autoSpaceDE w:val="0"/>
      <w:autoSpaceDN w:val="0"/>
      <w:adjustRightInd w:val="0"/>
      <w:spacing w:after="0" w:line="240" w:lineRule="auto"/>
    </w:pPr>
    <w:rPr>
      <w:rFonts w:ascii="Times New Roman" w:cs="Times New Roman" w:hAnsi="Times New Roman"/>
      <w:color w:val="000000"/>
      <w:sz w:val="24"/>
      <w:szCs w:val="24"/>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F2643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26434"/>
    <w:rPr>
      <w:rFonts w:ascii="Segoe UI" w:cs="Segoe UI" w:hAnsi="Segoe UI"/>
      <w:sz w:val="18"/>
      <w:szCs w:val="18"/>
    </w:rPr>
  </w:style>
  <w:style w:type="paragraph" w:styleId="Header">
    <w:name w:val="header"/>
    <w:basedOn w:val="Normal"/>
    <w:link w:val="HeaderChar"/>
    <w:uiPriority w:val="99"/>
    <w:unhideWhenUsed w:val="1"/>
    <w:rsid w:val="00347F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347FBB"/>
  </w:style>
  <w:style w:type="paragraph" w:styleId="Footer">
    <w:name w:val="footer"/>
    <w:basedOn w:val="Normal"/>
    <w:link w:val="FooterChar"/>
    <w:uiPriority w:val="99"/>
    <w:unhideWhenUsed w:val="1"/>
    <w:rsid w:val="00347F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347FBB"/>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WuibH6AWjFFrNFq2jg68ATmetA==">AMUW2mV1ikMpgmuHvwNx5keVmXS41kEeumQNj8an3un6hZ1hK08j56S7WRbSU6s4ltXCqSfgOssqRPW+LXMztZl/XWnOJukEcln6G/0I78GMqWh0jDapldgVTSc+Bmu8m4AD0YZJReQr8a32DbX8kSY8q1e2Sle7Kq9OPRiS1X4aAj13XVqvfBjDbu7D6jhLPNi6X0vRVnSI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2020-10-19T06:50:00Z</dcterms:created>
  <dc:creator>Liis Metsamart</dc:creator>
</cp:coreProperties>
</file>